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drawing>
          <wp:inline xmlns:a="http://schemas.openxmlformats.org/drawingml/2006/main" xmlns:pic="http://schemas.openxmlformats.org/drawingml/2006/picture">
            <wp:extent cx="2736000" cy="819903"/>
            <wp:docPr id="1" name="Picture 1"/>
            <wp:cNvGraphicFramePr>
              <a:graphicFrameLocks noChangeAspect="1"/>
            </wp:cNvGraphicFramePr>
            <a:graphic>
              <a:graphicData uri="http://schemas.openxmlformats.org/drawingml/2006/picture">
                <pic:pic>
                  <pic:nvPicPr>
                    <pic:cNvPr id="0" name="ckfp_logo.png"/>
                    <pic:cNvPicPr/>
                  </pic:nvPicPr>
                  <pic:blipFill>
                    <a:blip r:embed="rId9"/>
                    <a:stretch>
                      <a:fillRect/>
                    </a:stretch>
                  </pic:blipFill>
                  <pic:spPr>
                    <a:xfrm>
                      <a:off x="0" y="0"/>
                      <a:ext cx="2736000" cy="819903"/>
                    </a:xfrm>
                    <a:prstGeom prst="rect"/>
                  </pic:spPr>
                </pic:pic>
              </a:graphicData>
            </a:graphic>
          </wp:inline>
        </w:drawing>
      </w:r>
    </w:p>
    <w:p>
      <w:pPr>
        <w:pStyle w:val="Kicker"/>
        <w:spacing w:before="80"/>
      </w:pPr>
      <w:r>
        <w:t>AUTHORISED FINANCIAL SERVICES PROVIDER  |  FSP 48882  |  Reg. 2017/390075/07</w:t>
      </w:r>
    </w:p>
    <w:p>
      <w:pPr>
        <w:pStyle w:val="Title"/>
        <w:spacing w:before="100" w:after="80"/>
        <w:pBdr>
          <w:bottom w:val="single" w:sz="14" w:space="7" w:color="B49B73"/>
        </w:pBdr>
      </w:pPr>
      <w:r>
        <w:t>PRIVACY POLICY</w:t>
      </w:r>
    </w:p>
    <w:p>
      <w:pPr>
        <w:pStyle w:val="Kicker"/>
        <w:spacing w:before="100" w:after="140"/>
      </w:pPr>
      <w:r>
        <w:t>POPIA | Privacy and protection of personal information</w:t>
      </w:r>
    </w:p>
    <w:p>
      <w:pPr>
        <w:pStyle w:val="SmallNote"/>
        <w:spacing w:after="200"/>
      </w:pPr>
      <w:r>
        <w:t>Prepared: 20 October 2026  |  Draft for approval (effective on adoption)</w:t>
      </w:r>
    </w:p>
    <w:tbl>
      <w:tblPr>
        <w:tblW w:type="auto" w:w="0"/>
        <w:tblLayout w:type="fixed"/>
        <w:tblLook w:firstColumn="1" w:firstRow="1" w:lastColumn="0" w:lastRow="0" w:noHBand="0" w:noVBand="1" w:val="04A0"/>
      </w:tblPr>
      <w:tblGrid>
        <w:gridCol w:w="4706"/>
        <w:gridCol w:w="4706"/>
      </w:tblGrid>
      <w:tr>
        <w:tc>
          <w:tcPr>
            <w:tcW w:type="dxa" w:w="4734"/>
            <w:shd w:fill="F9F7F3"/>
            <w:vAlign w:val="center"/>
            <w:tcMar>
              <w:top w:w="90" w:type="dxa"/>
              <w:start w:w="90" w:type="dxa"/>
              <w:bottom w:w="90" w:type="dxa"/>
              <w:end w:w="90" w:type="dxa"/>
            </w:tcMar>
          </w:tcPr>
          <w:p>
            <w:pPr>
              <w:spacing w:after="20"/>
            </w:pPr>
            <w:r/>
            <w:r>
              <w:rPr>
                <w:b/>
                <w:color w:val="202226"/>
                <w:sz w:val="15"/>
              </w:rPr>
              <w:t>RESPONSIBLE PARTY</w:t>
            </w:r>
          </w:p>
          <w:p>
            <w:pPr>
              <w:spacing w:after="0"/>
            </w:pPr>
            <w:r>
              <w:rPr>
                <w:color w:val="383A3E"/>
                <w:sz w:val="18"/>
              </w:rPr>
              <w:t>Casper Kruger Financial Planners (Pty) Ltd</w:t>
            </w:r>
          </w:p>
        </w:tc>
        <w:tc>
          <w:tcPr>
            <w:tcW w:type="dxa" w:w="4734"/>
            <w:shd w:fill="F9F7F3"/>
            <w:vAlign w:val="center"/>
            <w:tcMar>
              <w:top w:w="90" w:type="dxa"/>
              <w:start w:w="90" w:type="dxa"/>
              <w:bottom w:w="90" w:type="dxa"/>
              <w:end w:w="90" w:type="dxa"/>
            </w:tcMar>
          </w:tcPr>
          <w:p>
            <w:pPr>
              <w:spacing w:after="20"/>
            </w:pPr>
            <w:r/>
            <w:r>
              <w:rPr>
                <w:b/>
                <w:color w:val="202226"/>
                <w:sz w:val="15"/>
              </w:rPr>
              <w:t>PRIVACY ENQUIRIES</w:t>
            </w:r>
          </w:p>
          <w:p>
            <w:pPr>
              <w:spacing w:after="0"/>
            </w:pPr>
            <w:r>
              <w:rPr>
                <w:color w:val="383A3E"/>
                <w:sz w:val="18"/>
              </w:rPr>
              <w:t>complaints@casperkruger.co.za</w:t>
            </w:r>
          </w:p>
        </w:tc>
      </w:tr>
      <w:tr>
        <w:tc>
          <w:tcPr>
            <w:tcW w:type="dxa" w:w="4734"/>
            <w:shd w:fill="F9F7F3"/>
            <w:vAlign w:val="center"/>
            <w:tcMar>
              <w:top w:w="90" w:type="dxa"/>
              <w:start w:w="90" w:type="dxa"/>
              <w:bottom w:w="90" w:type="dxa"/>
              <w:end w:w="90" w:type="dxa"/>
            </w:tcMar>
          </w:tcPr>
          <w:p>
            <w:pPr>
              <w:spacing w:after="20"/>
            </w:pPr>
            <w:r/>
            <w:r>
              <w:rPr>
                <w:b/>
                <w:color w:val="202226"/>
                <w:sz w:val="15"/>
              </w:rPr>
              <w:t>TELEPHONE</w:t>
            </w:r>
          </w:p>
          <w:p>
            <w:pPr>
              <w:spacing w:after="0"/>
            </w:pPr>
            <w:r>
              <w:rPr>
                <w:color w:val="383A3E"/>
                <w:sz w:val="18"/>
              </w:rPr>
              <w:t>012 943 7000</w:t>
            </w:r>
          </w:p>
        </w:tc>
        <w:tc>
          <w:tcPr>
            <w:tcW w:type="dxa" w:w="4734"/>
            <w:shd w:fill="F9F7F3"/>
            <w:vAlign w:val="center"/>
            <w:tcMar>
              <w:top w:w="90" w:type="dxa"/>
              <w:start w:w="90" w:type="dxa"/>
              <w:bottom w:w="90" w:type="dxa"/>
              <w:end w:w="90" w:type="dxa"/>
            </w:tcMar>
          </w:tcPr>
          <w:p>
            <w:pPr>
              <w:spacing w:after="20"/>
            </w:pPr>
            <w:r/>
            <w:r>
              <w:rPr>
                <w:b/>
                <w:color w:val="202226"/>
                <w:sz w:val="15"/>
              </w:rPr>
              <w:t>WEBSITE</w:t>
            </w:r>
          </w:p>
          <w:p>
            <w:pPr>
              <w:spacing w:after="0"/>
            </w:pPr>
            <w:r>
              <w:rPr>
                <w:color w:val="383A3E"/>
                <w:sz w:val="18"/>
              </w:rPr>
              <w:t>www.casperkruger.co.za</w:t>
            </w:r>
          </w:p>
        </w:tc>
      </w:tr>
    </w:tbl>
    <w:p>
      <w:pPr>
        <w:spacing w:after="0"/>
      </w:pPr>
    </w:p>
    <w:p>
      <w:pPr>
        <w:pStyle w:val="Heading1"/>
      </w:pPr>
      <w:r>
        <w:t>1. Who we are and what this policy covers</w:t>
      </w:r>
    </w:p>
    <w:p>
      <w:pPr>
        <w:spacing w:after="86"/>
      </w:pPr>
      <w:r>
        <w:t>We respect your privacy and handle personal information responsibly. This policy explains how we collect, use, disclose, store and protect personal information, and how you can exercise your rights under the Protection of Personal Information Act 4 of 2013 (POPIA). It is intended for clients, prospective clients, website visitors, suppliers, business contacts, job applicants and other individuals whose information we lawfully process. We may issue more specific notices where appropriate.</w:t>
      </w:r>
    </w:p>
    <w:p>
      <w:pPr>
        <w:spacing w:after="86"/>
      </w:pPr>
      <w:r>
        <w:t>Casper Kruger Financial Planners (Pty) Ltd (registration number 2017/390075/07; FSP 48882) provides financial planning, insurance, investment, retirement and relevant health-benefit advice and intermediary services. We are the responsible party where we determine the purposes and means of processing personal information in our practice. Product providers and medical schemes may be separate responsible parties when processing information for their own purposes.</w:t>
      </w:r>
    </w:p>
    <w:p>
      <w:pPr>
        <w:pStyle w:val="Heading1"/>
      </w:pPr>
      <w:r>
        <w:t>2. How to contact us</w:t>
      </w:r>
    </w:p>
    <w:p>
      <w:pPr>
        <w:spacing w:after="86"/>
      </w:pPr>
      <w:r>
        <w:t>Information Officer / privacy enquiries: Casper Kruger.</w:t>
      </w:r>
    </w:p>
    <w:p>
      <w:pPr>
        <w:spacing w:after="86"/>
      </w:pPr>
      <w:r>
        <w:t>Privacy requests and complaints: complaints@casperkruger.co.za  |  General enquiries: info@casperkruger.co.za</w:t>
      </w:r>
    </w:p>
    <w:p>
      <w:pPr>
        <w:spacing w:after="86"/>
      </w:pPr>
      <w:r>
        <w:t>Office: 012 943 7000  |  Web: www.casperkruger.co.za</w:t>
      </w:r>
    </w:p>
    <w:p>
      <w:pPr>
        <w:spacing w:after="86"/>
      </w:pPr>
      <w:r>
        <w:t>Business address: Little Paris Complex @ French Toast, Melodie, Hartbeespoort, 0216.</w:t>
      </w:r>
    </w:p>
    <w:p>
      <w:pPr>
        <w:pStyle w:val="Heading1"/>
      </w:pPr>
      <w:r>
        <w:t>3. What personal information we collect</w:t>
      </w:r>
    </w:p>
    <w:p>
      <w:pPr>
        <w:spacing w:after="86"/>
      </w:pPr>
      <w:r>
        <w:t>Depending on your advice needs and the products considered or serviced, this may include:</w:t>
      </w:r>
    </w:p>
    <w:p>
      <w:pPr>
        <w:pStyle w:val="BulletText"/>
        <w:spacing w:after="44"/>
      </w:pPr>
      <w:r>
        <w:rPr>
          <w:b/>
          <w:color w:val="B49B73"/>
        </w:rPr>
        <w:t xml:space="preserve">•  </w:t>
      </w:r>
      <w:r>
        <w:t>Names, identity numbers, contact details, dates of birth, marital and family information, employment details and verification documents.</w:t>
      </w:r>
    </w:p>
    <w:p>
      <w:pPr>
        <w:pStyle w:val="BulletText"/>
        <w:spacing w:after="44"/>
      </w:pPr>
      <w:r>
        <w:rPr>
          <w:b/>
          <w:color w:val="B49B73"/>
        </w:rPr>
        <w:t xml:space="preserve">•  </w:t>
      </w:r>
      <w:r>
        <w:t>Financial circumstances, assets, liabilities, income, expenses, beneficiaries, risk profile, objectives, affordability and retirement or estate-planning information.</w:t>
      </w:r>
    </w:p>
    <w:p>
      <w:pPr>
        <w:pStyle w:val="BulletText"/>
        <w:spacing w:after="44"/>
      </w:pPr>
      <w:r>
        <w:rPr>
          <w:b/>
          <w:color w:val="B49B73"/>
        </w:rPr>
        <w:t xml:space="preserve">•  </w:t>
      </w:r>
      <w:r>
        <w:t>Insurance, medical scheme, gap cover, investment, pension, retirement annuity and other product information, including premiums, contributions, balances, portfolio values and policy details.</w:t>
      </w:r>
    </w:p>
    <w:p>
      <w:pPr>
        <w:pStyle w:val="BulletText"/>
        <w:spacing w:after="44"/>
      </w:pPr>
      <w:r>
        <w:rPr>
          <w:b/>
          <w:color w:val="B49B73"/>
        </w:rPr>
        <w:t xml:space="preserve">•  </w:t>
      </w:r>
      <w:r>
        <w:t>Relevant medical, lifestyle, disability or health information required for a life insurance, medical scheme, gap cover or similar application, advice or claims-related assistance.</w:t>
      </w:r>
    </w:p>
    <w:p>
      <w:pPr>
        <w:pStyle w:val="BulletText"/>
        <w:spacing w:after="44"/>
      </w:pPr>
      <w:r>
        <w:rPr>
          <w:b/>
          <w:color w:val="B49B73"/>
        </w:rPr>
        <w:t xml:space="preserve">•  </w:t>
      </w:r>
      <w:r>
        <w:t>Tax and banking details, FICA or other client due-diligence records where required, and copies of authorised instructions, meeting notes, correspondence and advice records.</w:t>
      </w:r>
    </w:p>
    <w:p>
      <w:pPr>
        <w:pStyle w:val="BulletText"/>
        <w:spacing w:after="44"/>
      </w:pPr>
      <w:r>
        <w:rPr>
          <w:b/>
          <w:color w:val="B49B73"/>
        </w:rPr>
        <w:t xml:space="preserve">•  </w:t>
      </w:r>
      <w:r>
        <w:t>Information concerning dependants, beneficiaries, minor children or other persons where lawfully relevant to a product or instruction.</w:t>
      </w:r>
    </w:p>
    <w:p>
      <w:pPr>
        <w:pStyle w:val="Heading1"/>
      </w:pPr>
      <w:r>
        <w:t>4. Where information comes from</w:t>
      </w:r>
    </w:p>
    <w:p>
      <w:pPr>
        <w:spacing w:after="86"/>
      </w:pPr>
      <w:r>
        <w:t>We obtain information from you, your authorised representative or an authorised referral source. On an appropriate mandate or other lawful basis, we may request records from life insurers, investment platforms and managers, retirement funds, medical schemes, gap-cover providers, administrators, previous intermediaries and other relevant product providers. We may also use lawful verification, identity or regulatory screening sources. If you supply details of another adult, please ensure you are authorised or another lawful basis applies; your signature alone does not necessarily constitute that person’s consent.</w:t>
      </w:r>
    </w:p>
    <w:p>
      <w:pPr>
        <w:pStyle w:val="Heading1"/>
      </w:pPr>
      <w:r>
        <w:t>5. Why we process information and our lawful grounds</w:t>
      </w:r>
    </w:p>
    <w:p>
      <w:pPr>
        <w:spacing w:after="86"/>
      </w:pPr>
      <w:r>
        <w:t>We use relevant information to assess financial needs, prepare financial plans, review existing cover and investments, compare product options, prepare quotations and recommendations, submit authorised applications or instructions, service portfolios, assist with medical scheme or insurance administration, process queries and complaints, comply with regulatory duties and maintain secure business records.</w:t>
      </w:r>
    </w:p>
    <w:p>
      <w:pPr>
        <w:spacing w:after="86"/>
      </w:pPr>
      <w:r>
        <w:t>Depending on the circumstances, we process personal information with consent, to perform or prepare for a contract, to meet a legal obligation, to protect a legitimate interest of the data subject, or to pursue a legitimate interest permitted by POPIA. Consent is not the only lawful ground. Where consent is legally required, it will be requested appropriately; it may be withdrawn subject to applicable law. Withdrawal does not invalidate earlier lawful processing or override records we must keep.</w:t>
      </w:r>
    </w:p>
    <w:p>
      <w:pPr>
        <w:spacing w:after="86"/>
      </w:pPr>
      <w:r>
        <w:t>Some information is optional, while information necessary for advice suitability, a provider’s application, identity verification or legal compliance may be required. If essential details are not provided, we may be unable to make a suitable recommendation, arrange a product or continue a service.</w:t>
      </w:r>
    </w:p>
    <w:p>
      <w:pPr>
        <w:pStyle w:val="Heading1"/>
      </w:pPr>
      <w:r>
        <w:t>6. Health information, children and other special information</w:t>
      </w:r>
    </w:p>
    <w:p>
      <w:pPr>
        <w:spacing w:after="86"/>
      </w:pPr>
      <w:r>
        <w:t>We recognise that medical and disability information is particularly sensitive. We request and handle it only where relevant, necessary and permitted by POPIA, for example for an authorised life-cover, medical scheme or gap-cover application, underwriting requirement or claims assistance. We do not use such information for unrelated purposes. Information about children or dependants is processed with authorisation from a competent person or another lawful basis and only to the extent necessary.</w:t>
      </w:r>
    </w:p>
    <w:p>
      <w:pPr>
        <w:pStyle w:val="Heading1"/>
      </w:pPr>
      <w:r>
        <w:t>7. Who may receive the information</w:t>
      </w:r>
    </w:p>
    <w:p>
      <w:pPr>
        <w:spacing w:after="86"/>
      </w:pPr>
      <w:r>
        <w:t>We disclose only information reasonably necessary for a legitimate and lawful purpose. Recipients may act as independent responsible parties under their own privacy notices, or as operators processing information on our behalf under appropriate confidentiality and security arrangements. We do not sell client personal information.</w:t>
      </w:r>
    </w:p>
    <w:p>
      <w:pPr>
        <w:spacing w:after="86"/>
      </w:pPr>
      <w:r>
        <w:t>Relevant recipients may include life insurers, medical schemes, gap-cover insurers, retirement funds, investment managers and platforms, product administrators, authorised service providers, regulated verification and compliance providers, banks or payment facilitators, professional advisers, accountants, technology and document-storage operators, regulators, ombuds, courts or public authorities where lawful.</w:t>
      </w:r>
    </w:p>
    <w:p>
      <w:pPr>
        <w:spacing w:after="86"/>
      </w:pPr>
      <w:r>
        <w:t>Casper Kruger Financial Planners and Magic Square are separate companies. Having shared management or facilities does not mean one entity may freely use the other’s client information. Information is exchanged only when properly authorised, necessary to deliver a requested service, or otherwise lawfully permitted. No automatic joint marketing consent is assumed.</w:t>
      </w:r>
    </w:p>
    <w:p>
      <w:pPr>
        <w:pStyle w:val="Heading1"/>
      </w:pPr>
      <w:r>
        <w:t>8. Transfers outside South Africa</w:t>
      </w:r>
    </w:p>
    <w:p>
      <w:pPr>
        <w:spacing w:after="86"/>
      </w:pPr>
      <w:r>
        <w:t>An insurer, product provider, cloud platform or other service provider may process or store information outside South Africa. Where personal information is transferred to a recipient in another country, we will only do so where a condition in section 72 of POPIA is met, including where appropriate an adequate level of protection, binding safeguards, relevant consent or another lawful exception. We review relevant third-party arrangements where reasonably practicable.</w:t>
      </w:r>
    </w:p>
    <w:p>
      <w:pPr>
        <w:pStyle w:val="Heading1"/>
      </w:pPr>
      <w:r>
        <w:t>9. Marketing and client communications</w:t>
      </w:r>
    </w:p>
    <w:p>
      <w:pPr>
        <w:spacing w:after="86"/>
      </w:pPr>
      <w:r>
        <w:t>We may contact you about our relevant products and services only as permitted by POPIA, including the rules for electronic direct marketing. Where required, we will obtain your consent. Where the existing-customer exception applies, marketing will be limited to qualifying similar products or services and you will have a clear opportunity to opt out. You can object to direct marketing at any time, without charge. An opt-out will not prevent essential policy, product, claims, account or regulatory communications.</w:t>
      </w:r>
    </w:p>
    <w:p>
      <w:pPr>
        <w:pStyle w:val="Heading1"/>
      </w:pPr>
      <w:r>
        <w:t>10. Website, cookies and external links</w:t>
      </w:r>
    </w:p>
    <w:p>
      <w:pPr>
        <w:spacing w:after="86"/>
      </w:pPr>
      <w:r>
        <w:t>Our website may use technical cookies or similar tools to operate, remember settings, maintain security or understand how visitors use the site. The precise cookies and any third-party analytics or advertising tools depend on the website configuration. You may manage or remove cookies through your browser settings. Where non-essential tracking requires consent, appropriate choices will be provided. External websites linked from our site are subject to their own privacy notices. Please do not submit sensitive medical or identity documents through an unsecured public website form.</w:t>
      </w:r>
    </w:p>
    <w:p>
      <w:pPr>
        <w:pStyle w:val="Heading1"/>
      </w:pPr>
      <w:r>
        <w:t>11. Security and storage</w:t>
      </w:r>
    </w:p>
    <w:p>
      <w:pPr>
        <w:spacing w:after="86"/>
      </w:pPr>
      <w:r>
        <w:t>We apply reasonable, appropriate technical and organisational safeguards, taking into account the nature of the information and identified risks. These may include access controls, confidentiality obligations, secure storage, staff guidance, appropriate supplier controls and incident-response procedures. No electronic transmission or storage system is entirely risk-free. Please inform us promptly if you suspect that a message, document or instruction has been compromised.</w:t>
      </w:r>
    </w:p>
    <w:p>
      <w:pPr>
        <w:pStyle w:val="Heading1"/>
      </w:pPr>
      <w:r>
        <w:t>12. How long we retain information</w:t>
      </w:r>
    </w:p>
    <w:p>
      <w:pPr>
        <w:spacing w:after="86"/>
      </w:pPr>
      <w:r>
        <w:t>We retain information only for as long as reasonably required to provide services, meet applicable statutory and regulatory record-keeping duties, deal with complaints or disputes, and establish, exercise or defend legal claims. Retention periods differ by record type and applicable law. When information is no longer required, we will securely delete, destroy or de-identify it, subject to lawful exceptions. You may request details about retention relating to your records.</w:t>
      </w:r>
    </w:p>
    <w:p>
      <w:pPr>
        <w:pStyle w:val="Heading1"/>
      </w:pPr>
      <w:r>
        <w:t>13. Security incidents</w:t>
      </w:r>
    </w:p>
    <w:p>
      <w:pPr>
        <w:spacing w:after="86"/>
      </w:pPr>
      <w:r>
        <w:t>Where there are reasonable grounds to believe that personal information has been accessed or acquired by an unauthorised person, we will investigate, take appropriate steps to contain the incident and notify the Information Regulator and affected data subjects as required by section 22 of POPIA, subject to any lawful exception or delay.</w:t>
      </w:r>
    </w:p>
    <w:p>
      <w:pPr>
        <w:pStyle w:val="Heading1"/>
      </w:pPr>
      <w:r>
        <w:t>14. Your privacy rights</w:t>
      </w:r>
    </w:p>
    <w:p>
      <w:pPr>
        <w:spacing w:after="86"/>
      </w:pPr>
      <w:r>
        <w:t>Subject to applicable law, you may ask whether we hold your personal information; request access to relevant records; ask us to correct or update inaccurate, incomplete, misleading or outdated information; request deletion or destruction where legally appropriate; object to certain processing; withdraw consent where consent is the basis; and object to direct marketing. We may need to verify your identity or authority before releasing information. Certain requests may be subject to the Promotion of Access to Information Act 2 of 2000 (PAIA), prescribed procedures or lawful grounds for refusal. We will explain if a statutory retention or other legal duty prevents the requested deletion.</w:t>
      </w:r>
    </w:p>
    <w:p>
      <w:pPr>
        <w:pStyle w:val="Heading1"/>
      </w:pPr>
      <w:r>
        <w:t>15. Requests and complaints</w:t>
      </w:r>
    </w:p>
    <w:p>
      <w:pPr>
        <w:spacing w:after="86"/>
      </w:pPr>
      <w:r>
        <w:t>To exercise a privacy right, send an email to the contact specified above, with your name, relevant contact details and a clear description of the request. For security reasons, please do not send copies of identity documents unless we specifically and securely request them. We will deal with requests in accordance with POPIA and PAIA, as applicable.</w:t>
      </w:r>
    </w:p>
    <w:p>
      <w:pPr>
        <w:spacing w:after="86"/>
      </w:pPr>
      <w:r>
        <w:t>Please contact us first so that we can investigate a concern. You may also lodge a complaint with the Information Regulator (South Africa): www.inforegulator.org.za | POPIAComplaints@inforegulator.org.za | 010 023 5200. The Information Regulator may require use of its prescribed complaints procedure or electronic portal. A copy of our applicable PAIA manual is available on request and, where published, through our website.</w:t>
      </w:r>
    </w:p>
    <w:p>
      <w:pPr>
        <w:pStyle w:val="Heading1"/>
      </w:pPr>
      <w:r>
        <w:t>16. Policy updates</w:t>
      </w:r>
    </w:p>
    <w:p>
      <w:pPr>
        <w:spacing w:after="86"/>
      </w:pPr>
      <w:r>
        <w:t>We may update this policy to reflect legal, operational or technology changes. The current version will be made available through our office or website. Where a change requires a new notice or consent under applicable law, we will take the necessary steps.</w:t>
      </w:r>
    </w:p>
    <w:sectPr w:rsidR="00FC693F" w:rsidRPr="0006063C" w:rsidSect="00034616">
      <w:headerReference w:type="default" r:id="rId10"/>
      <w:footerReference w:type="default" r:id="rId11"/>
      <w:pgSz w:w="11906" w:h="16838"/>
      <w:pgMar w:top="935" w:right="1219" w:bottom="879" w:left="1219" w:header="397" w:footer="4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Pr>
    <w:r>
      <w:rPr>
        <w:rFonts w:ascii="Calibri" w:hAnsi="Calibri"/>
        <w:color w:val="757575"/>
        <w:sz w:val="15"/>
      </w:rPr>
      <w:t xml:space="preserve">Casper Kruger Financial Planners (Pty) Ltd  •  FSP 48882  |  Privacy Policy  |  Page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5" w:space="7" w:color="B49B73"/>
      </w:pBdr>
    </w:pPr>
    <w:r>
      <w:rPr>
        <w:rFonts w:ascii="Calibri" w:hAnsi="Calibri"/>
        <w:color w:val="202226"/>
        <w:sz w:val="16"/>
      </w:rPr>
      <w:t>CASPER KRUGER FINANCIAL PLANNERS (PTY) LTD   |   PRIVACY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92" w:line="264" w:lineRule="auto"/>
    </w:pPr>
    <w:rPr>
      <w:rFonts w:ascii="Calibri" w:hAnsi="Calibri"/>
      <w:color w:val="30323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70" w:after="66"/>
      <w:outlineLvl w:val="0"/>
    </w:pPr>
    <w:rPr>
      <w:rFonts w:asciiTheme="majorHAnsi" w:eastAsiaTheme="majorEastAsia" w:hAnsiTheme="majorHAnsi" w:cstheme="majorBidi" w:ascii="Calibri" w:hAnsi="Calibri"/>
      <w:b/>
      <w:bCs/>
      <w:color w:val="202226"/>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202226"/>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80"/>
    </w:pPr>
    <w:rPr>
      <w:rFonts w:ascii="Calibri" w:hAnsi="Calibri"/>
      <w:color w:val="202226"/>
      <w:sz w:val="16"/>
    </w:rPr>
  </w:style>
  <w:style w:type="paragraph" w:customStyle="1" w:styleId="SmallNote">
    <w:name w:val="SmallNote"/>
    <w:pPr>
      <w:spacing w:after="80"/>
    </w:pPr>
    <w:rPr>
      <w:rFonts w:ascii="Calibri" w:hAnsi="Calibri"/>
      <w:color w:val="5F6268"/>
      <w:sz w:val="16"/>
    </w:rPr>
  </w:style>
  <w:style w:type="paragraph" w:customStyle="1" w:styleId="BulletText">
    <w:name w:val="BulletText"/>
    <w:pPr>
      <w:spacing w:after="80" w:line="269" w:lineRule="auto"/>
      <w:ind w:left="255" w:hanging="159"/>
    </w:pPr>
    <w:rPr>
      <w:rFonts w:ascii="Calibri" w:hAnsi="Calibri"/>
      <w:color w:val="5F6268"/>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Casper Kruger Financial Planners (Pty) Ltd | Privacy Policy</dc:title>
  <dc:subject>POPIA Privacy Policy</dc:subject>
  <dc:creator>Casper Kruger Financial Planners (Pty)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